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E90B" w14:textId="3D397C88" w:rsidR="00D07C27" w:rsidRPr="00D57B30" w:rsidRDefault="00BE3286" w:rsidP="008246F4">
      <w:pPr>
        <w:pStyle w:val="Heading1"/>
        <w:ind w:right="545"/>
        <w:rPr>
          <w:color w:val="1F4E79" w:themeColor="accent1" w:themeShade="80"/>
        </w:rPr>
      </w:pPr>
      <w:r>
        <w:rPr>
          <w:color w:val="1F4E79" w:themeColor="accent1" w:themeShade="80"/>
        </w:rPr>
        <w:t>Point 13 de l'ordre du jour : Réunion avec l’Organisation de soutien aux extensions géographiques (</w:t>
      </w:r>
      <w:proofErr w:type="spellStart"/>
      <w:r>
        <w:rPr>
          <w:color w:val="1F4E79" w:themeColor="accent1" w:themeShade="80"/>
        </w:rPr>
        <w:t>ccNSO</w:t>
      </w:r>
      <w:proofErr w:type="spellEnd"/>
      <w:r>
        <w:rPr>
          <w:color w:val="1F4E79" w:themeColor="accent1" w:themeShade="80"/>
        </w:rPr>
        <w:t>)</w:t>
      </w:r>
    </w:p>
    <w:p w14:paraId="4C084511" w14:textId="12608FCB" w:rsidR="00F21D6A" w:rsidRDefault="00D57B30" w:rsidP="00E15459">
      <w:pPr>
        <w:pStyle w:val="Heading2"/>
      </w:pPr>
      <w:r>
        <w:t>Problématiques</w:t>
      </w:r>
    </w:p>
    <w:p w14:paraId="26346E09" w14:textId="77777777" w:rsidR="00746454" w:rsidRPr="0043171A" w:rsidRDefault="00746454" w:rsidP="00746454">
      <w:pPr>
        <w:spacing w:after="200" w:line="276" w:lineRule="auto"/>
        <w:ind w:right="54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Les ordres du jour des réunions bilatérales du GAC de ce type ont tendance à changer jusqu’à la dernière minute pour différentes raisons. Toutefois, les questions suivantes sont susceptibles d’être soulevées :</w:t>
      </w:r>
    </w:p>
    <w:p w14:paraId="3640AC1E" w14:textId="48E3CB8F" w:rsidR="006075B6" w:rsidRDefault="00746454" w:rsidP="00746454">
      <w:pPr>
        <w:pStyle w:val="BodyText"/>
        <w:numPr>
          <w:ilvl w:val="0"/>
          <w:numId w:val="29"/>
        </w:numPr>
      </w:pPr>
      <w:r>
        <w:t xml:space="preserve">Diversité des </w:t>
      </w:r>
      <w:proofErr w:type="spellStart"/>
      <w:r>
        <w:t>ccTLD</w:t>
      </w:r>
      <w:bookmarkStart w:id="0" w:name="_GoBack"/>
      <w:bookmarkEnd w:id="0"/>
      <w:proofErr w:type="spellEnd"/>
    </w:p>
    <w:p w14:paraId="6604FA0C" w14:textId="0EBE53A6" w:rsidR="00746454" w:rsidRDefault="00746454" w:rsidP="00746454">
      <w:pPr>
        <w:pStyle w:val="BodyText"/>
        <w:numPr>
          <w:ilvl w:val="0"/>
          <w:numId w:val="29"/>
        </w:numPr>
      </w:pPr>
      <w:proofErr w:type="gramStart"/>
      <w:r>
        <w:t>les</w:t>
      </w:r>
      <w:proofErr w:type="gramEnd"/>
      <w:r>
        <w:t xml:space="preserve"> noms géographiques comme </w:t>
      </w:r>
      <w:proofErr w:type="spellStart"/>
      <w:r>
        <w:t>ccTLD</w:t>
      </w:r>
      <w:proofErr w:type="spellEnd"/>
      <w:r>
        <w:t>.</w:t>
      </w:r>
    </w:p>
    <w:p w14:paraId="369BAFFE" w14:textId="1688F2E3" w:rsidR="00746454" w:rsidRDefault="00746454" w:rsidP="00746454">
      <w:pPr>
        <w:pStyle w:val="BodyText"/>
        <w:numPr>
          <w:ilvl w:val="0"/>
          <w:numId w:val="29"/>
        </w:numPr>
      </w:pPr>
      <w:r>
        <w:t>ISO3166</w:t>
      </w:r>
    </w:p>
    <w:p w14:paraId="29275C1B" w14:textId="22AA3778" w:rsidR="00036D48" w:rsidRDefault="00036D48" w:rsidP="00036D48">
      <w:pPr>
        <w:pStyle w:val="Heading2"/>
      </w:pPr>
      <w:r>
        <w:t>Actions requises de la part du GAC</w:t>
      </w:r>
    </w:p>
    <w:p w14:paraId="1A45348A" w14:textId="2DC4783C" w:rsidR="0012744C" w:rsidRPr="00746454" w:rsidRDefault="00746454" w:rsidP="00746454">
      <w:pPr>
        <w:pStyle w:val="BodyText"/>
        <w:rPr>
          <w:b/>
        </w:rPr>
      </w:pPr>
      <w:r>
        <w:rPr>
          <w:b/>
        </w:rPr>
        <w:t xml:space="preserve">Diversité des </w:t>
      </w:r>
      <w:proofErr w:type="spellStart"/>
      <w:r>
        <w:rPr>
          <w:b/>
        </w:rPr>
        <w:t>ccTLD</w:t>
      </w:r>
      <w:proofErr w:type="spellEnd"/>
    </w:p>
    <w:p w14:paraId="65456B70" w14:textId="30D4F4C6" w:rsidR="00746454" w:rsidRDefault="00746454" w:rsidP="00746454">
      <w:pPr>
        <w:pStyle w:val="BodyText"/>
      </w:pPr>
      <w:r>
        <w:t xml:space="preserve">Plus de détails sur l’intention de ce point de l’ordre du jour sont demandés à la </w:t>
      </w:r>
      <w:proofErr w:type="spellStart"/>
      <w:r>
        <w:t>ccNSO</w:t>
      </w:r>
      <w:proofErr w:type="spellEnd"/>
      <w:r>
        <w:t>.</w:t>
      </w:r>
    </w:p>
    <w:p w14:paraId="59D39C01" w14:textId="6E54F357" w:rsidR="00746454" w:rsidRPr="00746454" w:rsidRDefault="00746454" w:rsidP="00746454">
      <w:pPr>
        <w:pStyle w:val="BodyText"/>
        <w:rPr>
          <w:b/>
        </w:rPr>
      </w:pPr>
      <w:r>
        <w:rPr>
          <w:b/>
        </w:rPr>
        <w:t xml:space="preserve">Noms géographiques comme </w:t>
      </w:r>
      <w:proofErr w:type="spellStart"/>
      <w:r>
        <w:rPr>
          <w:b/>
        </w:rPr>
        <w:t>ccTLD</w:t>
      </w:r>
      <w:proofErr w:type="spellEnd"/>
    </w:p>
    <w:p w14:paraId="4C0845F1" w14:textId="422D4AF9" w:rsidR="00746454" w:rsidRDefault="00746454" w:rsidP="00746454">
      <w:pPr>
        <w:pStyle w:val="BodyText"/>
      </w:pPr>
      <w:r>
        <w:t xml:space="preserve">Plus de détails sur ce point de l’ordre du jour sont demandés à la </w:t>
      </w:r>
      <w:proofErr w:type="spellStart"/>
      <w:r>
        <w:t>ccNSO</w:t>
      </w:r>
      <w:proofErr w:type="spellEnd"/>
      <w:r>
        <w:t>.</w:t>
      </w:r>
    </w:p>
    <w:p w14:paraId="5EA2040D" w14:textId="525D3AA0" w:rsidR="00746454" w:rsidRDefault="00746454" w:rsidP="00746454">
      <w:pPr>
        <w:pStyle w:val="BodyText"/>
      </w:pPr>
      <w:r>
        <w:t>Le document de travail actuel de la piste de travail 5 sur le PDP relatif aux procédures pour des séries ultérieures de nouveaux gTLD établit ce qui suit :</w:t>
      </w:r>
    </w:p>
    <w:p w14:paraId="5D9EF267" w14:textId="5ACF4F76" w:rsidR="00746454" w:rsidRPr="00746454" w:rsidRDefault="00746454" w:rsidP="00746454">
      <w:pPr>
        <w:pStyle w:val="NormalWeb"/>
        <w:spacing w:before="0" w:beforeAutospacing="0" w:after="0" w:afterAutospacing="0"/>
        <w:ind w:left="36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color w:val="000000"/>
          <w:sz w:val="20"/>
          <w:szCs w:val="20"/>
        </w:rPr>
        <w:t xml:space="preserve">Il n’y a pas eu d’appel au consensus sur les recommandations potentielles, mais le texte suivant proposé par les </w:t>
      </w:r>
      <w:proofErr w:type="spellStart"/>
      <w:r>
        <w:rPr>
          <w:rFonts w:ascii="Century Gothic" w:hAnsi="Century Gothic"/>
          <w:i/>
          <w:color w:val="000000"/>
          <w:sz w:val="20"/>
          <w:szCs w:val="20"/>
        </w:rPr>
        <w:t>co-dirigeants</w:t>
      </w:r>
      <w:proofErr w:type="spellEnd"/>
      <w:r>
        <w:rPr>
          <w:rFonts w:ascii="Century Gothic" w:hAnsi="Century Gothic"/>
          <w:i/>
          <w:color w:val="000000"/>
          <w:sz w:val="20"/>
          <w:szCs w:val="20"/>
        </w:rPr>
        <w:t xml:space="preserve"> de la piste de travail est passé par deux lectures sur les demandes de la piste de travail :</w:t>
      </w:r>
    </w:p>
    <w:p w14:paraId="35C630EF" w14:textId="77777777" w:rsidR="00746454" w:rsidRPr="00EC0D71" w:rsidRDefault="00746454" w:rsidP="00746454">
      <w:pPr>
        <w:rPr>
          <w:rFonts w:ascii="Century Gothic" w:hAnsi="Century Gothic"/>
          <w:i/>
          <w:sz w:val="20"/>
          <w:szCs w:val="20"/>
        </w:rPr>
      </w:pPr>
    </w:p>
    <w:p w14:paraId="0F5020A9" w14:textId="49AC933C" w:rsidR="00746454" w:rsidRPr="00746454" w:rsidRDefault="00746454" w:rsidP="00746454">
      <w:pPr>
        <w:ind w:left="360"/>
        <w:rPr>
          <w:rFonts w:ascii="Century Gothic" w:hAnsi="Century Gothic"/>
          <w:i/>
          <w:sz w:val="20"/>
          <w:szCs w:val="20"/>
        </w:rPr>
      </w:pPr>
      <w:proofErr w:type="gramStart"/>
      <w:r>
        <w:rPr>
          <w:rFonts w:ascii="Century Gothic" w:hAnsi="Century Gothic"/>
          <w:b/>
          <w:bCs/>
          <w:i/>
          <w:color w:val="000000"/>
          <w:sz w:val="20"/>
          <w:szCs w:val="20"/>
        </w:rPr>
        <w:t>codes</w:t>
      </w:r>
      <w:proofErr w:type="gramEnd"/>
      <w:r>
        <w:rPr>
          <w:rFonts w:ascii="Century Gothic" w:hAnsi="Century Gothic"/>
          <w:b/>
          <w:bCs/>
          <w:i/>
          <w:color w:val="000000"/>
          <w:sz w:val="20"/>
          <w:szCs w:val="20"/>
        </w:rPr>
        <w:t xml:space="preserve"> de pays à 2 caractères lettre </w:t>
      </w:r>
      <w:proofErr w:type="spellStart"/>
      <w:r>
        <w:rPr>
          <w:rFonts w:ascii="Century Gothic" w:hAnsi="Century Gothic"/>
          <w:b/>
          <w:bCs/>
          <w:i/>
          <w:color w:val="000000"/>
          <w:sz w:val="20"/>
          <w:szCs w:val="20"/>
        </w:rPr>
        <w:t>lettre</w:t>
      </w:r>
      <w:proofErr w:type="spellEnd"/>
      <w:r>
        <w:rPr>
          <w:rFonts w:ascii="Century Gothic" w:hAnsi="Century Gothic"/>
          <w:b/>
          <w:bCs/>
          <w:i/>
          <w:color w:val="000000"/>
          <w:sz w:val="20"/>
          <w:szCs w:val="20"/>
        </w:rPr>
        <w:t xml:space="preserve"> (ISO 3166)</w:t>
      </w:r>
      <w:r>
        <w:rPr>
          <w:rFonts w:ascii="Century Gothic" w:hAnsi="Century Gothic"/>
          <w:i/>
          <w:color w:val="000000"/>
          <w:sz w:val="20"/>
          <w:szCs w:val="20"/>
        </w:rPr>
        <w:t xml:space="preserve"> : Le point de départ c’est le </w:t>
      </w:r>
      <w:proofErr w:type="spellStart"/>
      <w:r>
        <w:rPr>
          <w:rFonts w:ascii="Century Gothic" w:hAnsi="Century Gothic"/>
          <w:i/>
          <w:color w:val="000000"/>
          <w:sz w:val="20"/>
          <w:szCs w:val="20"/>
        </w:rPr>
        <w:t>status</w:t>
      </w:r>
      <w:proofErr w:type="spellEnd"/>
      <w:r>
        <w:rPr>
          <w:rFonts w:ascii="Century Gothic" w:hAnsi="Century Gothic"/>
          <w:i/>
          <w:color w:val="000000"/>
          <w:sz w:val="20"/>
          <w:szCs w:val="20"/>
        </w:rPr>
        <w:t xml:space="preserve"> quo, mais il se réduit aux noms géographiques  en réservant toutes les combinaisons à deux caractères ASCII lettre </w:t>
      </w:r>
      <w:proofErr w:type="spellStart"/>
      <w:r>
        <w:rPr>
          <w:rFonts w:ascii="Century Gothic" w:hAnsi="Century Gothic"/>
          <w:i/>
          <w:color w:val="000000"/>
          <w:sz w:val="20"/>
          <w:szCs w:val="20"/>
        </w:rPr>
        <w:t>lettre</w:t>
      </w:r>
      <w:proofErr w:type="spellEnd"/>
      <w:r>
        <w:rPr>
          <w:rFonts w:ascii="Century Gothic" w:hAnsi="Century Gothic"/>
          <w:i/>
          <w:color w:val="000000"/>
          <w:sz w:val="20"/>
          <w:szCs w:val="20"/>
        </w:rPr>
        <w:t xml:space="preserve"> pour les codes de pays existants et futurs. Les noms à 2 caractères « lettre-chiffre » ne sont pas des noms géographiques et sont donc hors de la portée de la piste de travail 5.</w:t>
      </w:r>
      <w:r>
        <w:rPr>
          <w:rFonts w:ascii="Century Gothic" w:hAnsi="Century Gothic"/>
          <w:i/>
          <w:color w:val="000000"/>
          <w:sz w:val="20"/>
          <w:szCs w:val="20"/>
        </w:rPr>
        <w:br/>
      </w:r>
    </w:p>
    <w:p w14:paraId="1001B316" w14:textId="77777777" w:rsidR="00746454" w:rsidRPr="00746454" w:rsidRDefault="00746454" w:rsidP="00746454">
      <w:pPr>
        <w:numPr>
          <w:ilvl w:val="0"/>
          <w:numId w:val="30"/>
        </w:numPr>
        <w:textAlignment w:val="baseline"/>
        <w:rPr>
          <w:rFonts w:ascii="Century Gothic" w:hAnsi="Century Gothic"/>
          <w:i/>
          <w:color w:val="000000"/>
          <w:sz w:val="20"/>
          <w:szCs w:val="20"/>
        </w:rPr>
      </w:pPr>
      <w:r>
        <w:rPr>
          <w:rFonts w:ascii="Century Gothic" w:hAnsi="Century Gothic"/>
          <w:i/>
          <w:color w:val="000000"/>
          <w:sz w:val="20"/>
          <w:szCs w:val="20"/>
        </w:rPr>
        <w:t>Si les combinaisons lettre-chiffre étaient recommandées (piste de travail 2 considérant les noms réservés), elles devraient faire l’objet d’une révision sur la similarité de chaînes</w:t>
      </w:r>
    </w:p>
    <w:p w14:paraId="2C40159B" w14:textId="77777777" w:rsidR="00746454" w:rsidRPr="00EC0D71" w:rsidRDefault="00746454" w:rsidP="00746454">
      <w:pPr>
        <w:rPr>
          <w:rFonts w:ascii="Century Gothic" w:hAnsi="Century Gothic"/>
          <w:i/>
          <w:sz w:val="20"/>
          <w:szCs w:val="20"/>
        </w:rPr>
      </w:pPr>
    </w:p>
    <w:p w14:paraId="3189A125" w14:textId="77777777" w:rsidR="00746454" w:rsidRPr="00746454" w:rsidRDefault="00746454" w:rsidP="00746454">
      <w:pPr>
        <w:ind w:firstLine="36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b/>
          <w:bCs/>
          <w:i/>
          <w:color w:val="000000"/>
          <w:sz w:val="20"/>
          <w:szCs w:val="20"/>
        </w:rPr>
        <w:t>Noms de pays et de territoires :</w:t>
      </w:r>
    </w:p>
    <w:p w14:paraId="07F7C703" w14:textId="77777777" w:rsidR="00746454" w:rsidRPr="00EC0D71" w:rsidRDefault="00746454" w:rsidP="00746454">
      <w:pPr>
        <w:rPr>
          <w:rFonts w:ascii="Century Gothic" w:hAnsi="Century Gothic"/>
          <w:i/>
          <w:sz w:val="20"/>
          <w:szCs w:val="20"/>
        </w:rPr>
      </w:pPr>
    </w:p>
    <w:p w14:paraId="479A64E7" w14:textId="1E32C2D2" w:rsidR="00746454" w:rsidRPr="00746454" w:rsidRDefault="00746454" w:rsidP="00746454">
      <w:pPr>
        <w:ind w:left="360"/>
        <w:rPr>
          <w:rFonts w:ascii="Century Gothic" w:hAnsi="Century Gothic"/>
          <w:i/>
          <w:sz w:val="20"/>
          <w:szCs w:val="20"/>
        </w:rPr>
      </w:pPr>
      <w:proofErr w:type="gramStart"/>
      <w:r>
        <w:rPr>
          <w:rFonts w:ascii="Century Gothic" w:hAnsi="Century Gothic"/>
          <w:b/>
          <w:bCs/>
          <w:i/>
          <w:color w:val="000000"/>
          <w:sz w:val="20"/>
          <w:szCs w:val="20"/>
        </w:rPr>
        <w:t>codes</w:t>
      </w:r>
      <w:proofErr w:type="gramEnd"/>
      <w:r>
        <w:rPr>
          <w:rFonts w:ascii="Century Gothic" w:hAnsi="Century Gothic"/>
          <w:b/>
          <w:bCs/>
          <w:i/>
          <w:color w:val="000000"/>
          <w:sz w:val="20"/>
          <w:szCs w:val="20"/>
        </w:rPr>
        <w:t xml:space="preserve"> de pays à 3 caractères (ISO 3166)</w:t>
      </w:r>
      <w:r>
        <w:rPr>
          <w:rFonts w:ascii="Century Gothic" w:hAnsi="Century Gothic"/>
          <w:i/>
          <w:color w:val="000000"/>
          <w:sz w:val="20"/>
          <w:szCs w:val="20"/>
        </w:rPr>
        <w:t xml:space="preserve"> : Maintenir le statu quo, c.-à-d. pas disponible, et reporter des questions plus générales au sujet de quelle entité/entités peuvent se porter candidates pour ces chaînes et comment elles peuvent être traitées (par exemple, sous la forme d’un gTLD, un </w:t>
      </w:r>
      <w:proofErr w:type="spellStart"/>
      <w:r>
        <w:rPr>
          <w:rFonts w:ascii="Century Gothic" w:hAnsi="Century Gothic"/>
          <w:i/>
          <w:color w:val="000000"/>
          <w:sz w:val="20"/>
          <w:szCs w:val="20"/>
        </w:rPr>
        <w:t>ccTLD</w:t>
      </w:r>
      <w:proofErr w:type="spellEnd"/>
      <w:r>
        <w:rPr>
          <w:rFonts w:ascii="Century Gothic" w:hAnsi="Century Gothic"/>
          <w:i/>
          <w:color w:val="000000"/>
          <w:sz w:val="20"/>
          <w:szCs w:val="20"/>
        </w:rPr>
        <w:t xml:space="preserve"> ou autre chose).</w:t>
      </w:r>
      <w:r>
        <w:rPr>
          <w:rFonts w:ascii="Century Gothic" w:hAnsi="Century Gothic"/>
          <w:i/>
          <w:color w:val="000000"/>
          <w:sz w:val="20"/>
          <w:szCs w:val="20"/>
        </w:rPr>
        <w:br/>
      </w:r>
    </w:p>
    <w:p w14:paraId="2AEBA923" w14:textId="361E5075" w:rsidR="00746454" w:rsidRDefault="00746454" w:rsidP="00746454">
      <w:pPr>
        <w:ind w:left="360"/>
        <w:rPr>
          <w:rFonts w:ascii="Century Gothic" w:hAnsi="Century Gothic"/>
          <w:i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i/>
          <w:color w:val="000000"/>
          <w:sz w:val="20"/>
          <w:szCs w:val="20"/>
        </w:rPr>
        <w:t>Forme longue ou courte pour les noms de pays et de territoires (ISO 3166)</w:t>
      </w:r>
      <w:r>
        <w:rPr>
          <w:rFonts w:ascii="Century Gothic" w:hAnsi="Century Gothic"/>
          <w:i/>
          <w:color w:val="000000"/>
          <w:sz w:val="20"/>
          <w:szCs w:val="20"/>
        </w:rPr>
        <w:t xml:space="preserve"> : Maintenir le statu quo, c.-à-d. pas disponible, et reporter des questions plus générales au sujet de quelle entité/entités peuvent se porter candidates pour ces chaînes et comment elles peuvent être traitées (par exemple, sous la forme d’un gTLD, un </w:t>
      </w:r>
      <w:proofErr w:type="spellStart"/>
      <w:r>
        <w:rPr>
          <w:rFonts w:ascii="Century Gothic" w:hAnsi="Century Gothic"/>
          <w:i/>
          <w:color w:val="000000"/>
          <w:sz w:val="20"/>
          <w:szCs w:val="20"/>
        </w:rPr>
        <w:t>ccTLD</w:t>
      </w:r>
      <w:proofErr w:type="spellEnd"/>
      <w:r>
        <w:rPr>
          <w:rFonts w:ascii="Century Gothic" w:hAnsi="Century Gothic"/>
          <w:i/>
          <w:color w:val="000000"/>
          <w:sz w:val="20"/>
          <w:szCs w:val="20"/>
        </w:rPr>
        <w:t xml:space="preserve"> ou autre chose).</w:t>
      </w:r>
    </w:p>
    <w:p w14:paraId="440174E4" w14:textId="77777777" w:rsidR="00746454" w:rsidRPr="00EC0D71" w:rsidRDefault="00746454" w:rsidP="00746454">
      <w:pPr>
        <w:ind w:left="360"/>
        <w:rPr>
          <w:rFonts w:ascii="Century Gothic" w:hAnsi="Century Gothic"/>
          <w:i/>
          <w:sz w:val="20"/>
          <w:szCs w:val="20"/>
        </w:rPr>
      </w:pPr>
    </w:p>
    <w:p w14:paraId="58B89456" w14:textId="57B2C5B0" w:rsidR="00746454" w:rsidRPr="00746454" w:rsidRDefault="00746454" w:rsidP="00746454">
      <w:pPr>
        <w:pStyle w:val="BodyTex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ISO3166</w:t>
      </w:r>
    </w:p>
    <w:p w14:paraId="0056E8C1" w14:textId="10161309" w:rsidR="00746454" w:rsidRDefault="00746454" w:rsidP="00746454">
      <w:pPr>
        <w:pStyle w:val="BodyText"/>
      </w:pPr>
      <w:r>
        <w:lastRenderedPageBreak/>
        <w:t xml:space="preserve">La </w:t>
      </w:r>
      <w:proofErr w:type="spellStart"/>
      <w:r>
        <w:t>ccNSO</w:t>
      </w:r>
      <w:proofErr w:type="spellEnd"/>
      <w:r>
        <w:t xml:space="preserve"> a proposé qu’un membre du personnel de la </w:t>
      </w:r>
      <w:proofErr w:type="spellStart"/>
      <w:r>
        <w:t>ccNSO</w:t>
      </w:r>
      <w:proofErr w:type="spellEnd"/>
      <w:r>
        <w:t xml:space="preserve"> s’occupe de faire une présentation sur la norme ISO3166 Plus de détails sont demandés à la </w:t>
      </w:r>
      <w:proofErr w:type="spellStart"/>
      <w:r>
        <w:t>ccNSO</w:t>
      </w:r>
      <w:proofErr w:type="spellEnd"/>
      <w:r>
        <w:t>.</w:t>
      </w:r>
    </w:p>
    <w:p w14:paraId="39E50BDF" w14:textId="0264008E" w:rsidR="00746454" w:rsidRDefault="00746454" w:rsidP="00746454">
      <w:pPr>
        <w:pStyle w:val="BodyText"/>
      </w:pPr>
      <w:r>
        <w:t xml:space="preserve">La norme ISO3166 est une norme maintenue par l’Organisation internationale de normalisation. Elle est utilisée par l’ICANN pour définir les désignations éligibles pour les </w:t>
      </w:r>
      <w:proofErr w:type="spellStart"/>
      <w:r>
        <w:t>ccTLD</w:t>
      </w:r>
      <w:proofErr w:type="spellEnd"/>
      <w:r>
        <w:t xml:space="preserve"> et pour déterminer l’admissibilité d’une chaîne </w:t>
      </w:r>
      <w:proofErr w:type="spellStart"/>
      <w:r>
        <w:t>ccTLD</w:t>
      </w:r>
      <w:proofErr w:type="spellEnd"/>
      <w:r>
        <w:t xml:space="preserve"> pour un nom de domaine internationalisé (IDN). Elle est également utilisée par le GAC et l’ICANN en tant qu’élément clé de la politique des noms réservés pour les gTLD.</w:t>
      </w:r>
    </w:p>
    <w:p w14:paraId="03F9C84A" w14:textId="6DA2AE32" w:rsidR="00583EE4" w:rsidRDefault="00A25553" w:rsidP="00A25553">
      <w:pPr>
        <w:pStyle w:val="Heading2"/>
      </w:pPr>
      <w:r>
        <w:t>Position actuelle</w:t>
      </w:r>
    </w:p>
    <w:p w14:paraId="3658FCE0" w14:textId="77777777" w:rsidR="00DF46AA" w:rsidRDefault="00DF46AA" w:rsidP="00DF46AA">
      <w:pPr>
        <w:pStyle w:val="BodyText"/>
        <w:ind w:right="544"/>
      </w:pPr>
      <w:r>
        <w:t>L’</w:t>
      </w:r>
      <w:hyperlink r:id="rId8" w:history="1">
        <w:r>
          <w:rPr>
            <w:rStyle w:val="Hyperlink"/>
          </w:rPr>
          <w:t>Organisation de soutien aux extensions géographiques</w:t>
        </w:r>
      </w:hyperlink>
      <w:r>
        <w:t xml:space="preserve"> (</w:t>
      </w:r>
      <w:proofErr w:type="spellStart"/>
      <w:r>
        <w:t>ccNSO</w:t>
      </w:r>
      <w:proofErr w:type="spellEnd"/>
      <w:r>
        <w:t xml:space="preserve">) est un organe au sein de la structure de l’ICANN, créé par et pour les gestionnaires </w:t>
      </w:r>
      <w:proofErr w:type="spellStart"/>
      <w:r>
        <w:t>ccTLD</w:t>
      </w:r>
      <w:proofErr w:type="spellEnd"/>
      <w:r>
        <w:t xml:space="preserve">.  </w:t>
      </w:r>
    </w:p>
    <w:p w14:paraId="0EE9E60F" w14:textId="77777777" w:rsidR="00DF46AA" w:rsidRDefault="00DF46AA" w:rsidP="00DF46AA">
      <w:pPr>
        <w:pStyle w:val="BodyText"/>
        <w:ind w:right="544"/>
      </w:pPr>
      <w:r>
        <w:t xml:space="preserve">Certains membres du GAC gèrent leurs </w:t>
      </w:r>
      <w:proofErr w:type="spellStart"/>
      <w:r>
        <w:t>ccTLD</w:t>
      </w:r>
      <w:proofErr w:type="spellEnd"/>
      <w:r>
        <w:t xml:space="preserve"> respectifs. D’autres ont de bonnes relations de travail avec leurs gestionnaires </w:t>
      </w:r>
      <w:proofErr w:type="spellStart"/>
      <w:r>
        <w:t>ccTLD</w:t>
      </w:r>
      <w:proofErr w:type="spellEnd"/>
      <w:r>
        <w:t xml:space="preserve">.  Ce n’est pas le cas d’autres membres, dont la collaboration avec leurs gestionnaires </w:t>
      </w:r>
      <w:proofErr w:type="spellStart"/>
      <w:r>
        <w:t>ccTLD</w:t>
      </w:r>
      <w:proofErr w:type="spellEnd"/>
      <w:r>
        <w:t xml:space="preserve"> est difficile (voire inexistante).  Néanmoins, la plupart des gouvernements ont tout intérêt à veiller à la bonne administration des </w:t>
      </w:r>
      <w:proofErr w:type="spellStart"/>
      <w:r>
        <w:t>ccTLD</w:t>
      </w:r>
      <w:proofErr w:type="spellEnd"/>
      <w:r>
        <w:t xml:space="preserve"> relatifs à leur pays et/ou leurs territoires.</w:t>
      </w:r>
    </w:p>
    <w:p w14:paraId="3E2B8845" w14:textId="77777777" w:rsidR="00DF46AA" w:rsidRDefault="00DF46AA" w:rsidP="00DF46AA">
      <w:pPr>
        <w:pStyle w:val="BodyText"/>
        <w:ind w:right="544"/>
      </w:pPr>
      <w:r>
        <w:t xml:space="preserve">La </w:t>
      </w:r>
      <w:proofErr w:type="spellStart"/>
      <w:r>
        <w:t>ccNSO</w:t>
      </w:r>
      <w:proofErr w:type="spellEnd"/>
      <w:r>
        <w:t xml:space="preserve"> offre une plateforme qui encourage le consensus, la coopération technique et le renforcement des capacités parmi les </w:t>
      </w:r>
      <w:proofErr w:type="spellStart"/>
      <w:r>
        <w:t>ccTLD</w:t>
      </w:r>
      <w:proofErr w:type="spellEnd"/>
      <w:r>
        <w:t xml:space="preserve">, et qui facilite les bonnes pratiques volontaires pour les gestionnaires </w:t>
      </w:r>
      <w:proofErr w:type="spellStart"/>
      <w:r>
        <w:t>ccTLD</w:t>
      </w:r>
      <w:proofErr w:type="spellEnd"/>
      <w:r>
        <w:t xml:space="preserve">.  Elle est également chargée d’élaborer et de recommander des politiques mondiales au Conseil d’administration de l’ICANN sur un nombre limité de questions liées aux </w:t>
      </w:r>
      <w:proofErr w:type="spellStart"/>
      <w:r>
        <w:t>ccTLD</w:t>
      </w:r>
      <w:proofErr w:type="spellEnd"/>
      <w:r>
        <w:t xml:space="preserve">, comme l’introduction des noms de domaine de premier niveau géographique internationalisés (IDN </w:t>
      </w:r>
      <w:proofErr w:type="spellStart"/>
      <w:r>
        <w:t>ccTLD</w:t>
      </w:r>
      <w:proofErr w:type="spellEnd"/>
      <w:r>
        <w:t xml:space="preserve">).  Ce PDP relève du </w:t>
      </w:r>
      <w:hyperlink r:id="rId9" w:history="1">
        <w:r>
          <w:t xml:space="preserve">Conseil de la </w:t>
        </w:r>
        <w:proofErr w:type="spellStart"/>
        <w:r>
          <w:t>ccNSO</w:t>
        </w:r>
        <w:proofErr w:type="spellEnd"/>
      </w:hyperlink>
      <w:r>
        <w:t xml:space="preserve">.  Les activités de la </w:t>
      </w:r>
      <w:proofErr w:type="spellStart"/>
      <w:r>
        <w:t>ccNSO</w:t>
      </w:r>
      <w:proofErr w:type="spellEnd"/>
      <w:r>
        <w:t xml:space="preserve"> sont essentiellement réparties par groupes de travail, tels que le </w:t>
      </w:r>
      <w:hyperlink r:id="rId10" w:history="1">
        <w:r>
          <w:t>Groupe de travail sur la planification stratégique et opérationnelle</w:t>
        </w:r>
      </w:hyperlink>
      <w:r>
        <w:t xml:space="preserve"> ou le </w:t>
      </w:r>
      <w:hyperlink r:id="rId11" w:history="1">
        <w:r>
          <w:t>Groupe de travail technique</w:t>
        </w:r>
      </w:hyperlink>
      <w:r>
        <w:t xml:space="preserve">.  L’adhésion à la </w:t>
      </w:r>
      <w:proofErr w:type="spellStart"/>
      <w:r>
        <w:t>ccNSO</w:t>
      </w:r>
      <w:proofErr w:type="spellEnd"/>
      <w:r>
        <w:t xml:space="preserve"> est ouverte à tous les gestionnaires </w:t>
      </w:r>
      <w:proofErr w:type="spellStart"/>
      <w:r>
        <w:t>ccTLD</w:t>
      </w:r>
      <w:proofErr w:type="spellEnd"/>
      <w:r>
        <w:t xml:space="preserve"> chargés d’un domaine de premier niveau géographique ISO 3166.</w:t>
      </w:r>
    </w:p>
    <w:p w14:paraId="27178919" w14:textId="77777777" w:rsidR="00DF46AA" w:rsidRDefault="00DF46AA" w:rsidP="00DF46AA">
      <w:pPr>
        <w:pStyle w:val="BodyText"/>
        <w:ind w:right="544"/>
      </w:pPr>
      <w:r>
        <w:t xml:space="preserve">Le GAC rencontre habituellement le président et d’autres membres du Conseil de la </w:t>
      </w:r>
      <w:proofErr w:type="spellStart"/>
      <w:r>
        <w:t>ccNSO</w:t>
      </w:r>
      <w:proofErr w:type="spellEnd"/>
      <w:r>
        <w:t xml:space="preserve"> à chaque réunion de l’ICANN, pour aborder des sujets d’intérêt commun et identifier de meilleures méthodes de coopération.  </w:t>
      </w:r>
    </w:p>
    <w:p w14:paraId="150195A7" w14:textId="386A5D59" w:rsidR="00A04A96" w:rsidRPr="00A04A96" w:rsidRDefault="00DF46AA" w:rsidP="00DF46AA">
      <w:pPr>
        <w:pStyle w:val="BodyText"/>
        <w:ind w:right="544"/>
      </w:pPr>
      <w:r>
        <w:t xml:space="preserve">Mme Katrina </w:t>
      </w:r>
      <w:proofErr w:type="spellStart"/>
      <w:r>
        <w:t>Sataki</w:t>
      </w:r>
      <w:proofErr w:type="spellEnd"/>
      <w:r>
        <w:t xml:space="preserve"> est l’actuelle présidente de la </w:t>
      </w:r>
      <w:proofErr w:type="spellStart"/>
      <w:r>
        <w:t>ccNSO</w:t>
      </w:r>
      <w:proofErr w:type="spellEnd"/>
      <w:r>
        <w:t>.</w:t>
      </w:r>
    </w:p>
    <w:p w14:paraId="30102AEC" w14:textId="42C9F0EE" w:rsidR="00BF4CFB" w:rsidRDefault="00EF36F3" w:rsidP="00DF46AA">
      <w:pPr>
        <w:pStyle w:val="Heading2"/>
      </w:pPr>
      <w:r>
        <w:t>Informations complémentaires</w:t>
      </w:r>
    </w:p>
    <w:p w14:paraId="582CC24F" w14:textId="32BC3A01" w:rsidR="00DF46AA" w:rsidRDefault="004C5D8F" w:rsidP="00DF46AA">
      <w:pPr>
        <w:pStyle w:val="BodyText"/>
      </w:pPr>
      <w:hyperlink r:id="rId12" w:history="1">
        <w:r w:rsidR="00A264DC">
          <w:rPr>
            <w:rStyle w:val="Hyperlink"/>
          </w:rPr>
          <w:t xml:space="preserve">Site Web de la </w:t>
        </w:r>
        <w:proofErr w:type="spellStart"/>
        <w:r w:rsidR="00A264DC">
          <w:rPr>
            <w:rStyle w:val="Hyperlink"/>
          </w:rPr>
          <w:t>ccNSO</w:t>
        </w:r>
        <w:proofErr w:type="spellEnd"/>
      </w:hyperlink>
    </w:p>
    <w:p w14:paraId="0D54E72D" w14:textId="3FBC317B" w:rsidR="00DF46AA" w:rsidRPr="00DF46AA" w:rsidRDefault="004C5D8F" w:rsidP="00DF46AA">
      <w:pPr>
        <w:pStyle w:val="BodyText"/>
      </w:pPr>
      <w:hyperlink r:id="rId13" w:history="1">
        <w:r w:rsidR="00A264DC">
          <w:rPr>
            <w:rStyle w:val="Hyperlink"/>
          </w:rPr>
          <w:t>ISO 3166</w:t>
        </w:r>
      </w:hyperlink>
      <w:r w:rsidR="00A264DC">
        <w:t xml:space="preserve"> </w:t>
      </w:r>
    </w:p>
    <w:p w14:paraId="021872AC" w14:textId="77777777" w:rsidR="00EF36F3" w:rsidRPr="00EF36F3" w:rsidRDefault="00EF36F3" w:rsidP="00EF36F3">
      <w:pPr>
        <w:pStyle w:val="BodyText"/>
      </w:pPr>
    </w:p>
    <w:p w14:paraId="1D48DB79" w14:textId="7ED0B9EE" w:rsidR="00E15459" w:rsidRDefault="00E15459" w:rsidP="00E15459">
      <w:pPr>
        <w:pStyle w:val="Heading2"/>
      </w:pPr>
      <w:bookmarkStart w:id="1" w:name="_Hlk484433727"/>
    </w:p>
    <w:p w14:paraId="0A190E78" w14:textId="636B0FC5" w:rsidR="00E15459" w:rsidRDefault="00E15459" w:rsidP="00E15459">
      <w:pPr>
        <w:pStyle w:val="Heading2"/>
      </w:pPr>
      <w:r>
        <w:t>Administration des documents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15459" w:rsidRPr="003F43E3" w14:paraId="5AF9ECC9" w14:textId="77777777" w:rsidTr="00D27E64">
        <w:tc>
          <w:tcPr>
            <w:tcW w:w="3261" w:type="dxa"/>
            <w:vAlign w:val="center"/>
          </w:tcPr>
          <w:p w14:paraId="7E4CC06C" w14:textId="77777777" w:rsidR="00E15459" w:rsidRPr="003F43E3" w:rsidRDefault="00E15459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Titre</w:t>
            </w:r>
          </w:p>
        </w:tc>
        <w:tc>
          <w:tcPr>
            <w:tcW w:w="5811" w:type="dxa"/>
            <w:vAlign w:val="center"/>
          </w:tcPr>
          <w:p w14:paraId="617EDD3A" w14:textId="0B48915F" w:rsidR="00E15459" w:rsidRPr="00EA3A02" w:rsidRDefault="00DF46AA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Réunion avec la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ccNSO</w:t>
            </w:r>
            <w:proofErr w:type="spellEnd"/>
          </w:p>
        </w:tc>
      </w:tr>
      <w:tr w:rsidR="00E15459" w:rsidRPr="003F43E3" w14:paraId="6D5C3D47" w14:textId="77777777" w:rsidTr="00D27E64">
        <w:tc>
          <w:tcPr>
            <w:tcW w:w="3261" w:type="dxa"/>
            <w:vAlign w:val="center"/>
          </w:tcPr>
          <w:p w14:paraId="4CC45D6D" w14:textId="77777777" w:rsidR="00E15459" w:rsidRPr="003F43E3" w:rsidRDefault="00E15459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Distribution</w:t>
            </w:r>
          </w:p>
        </w:tc>
        <w:tc>
          <w:tcPr>
            <w:tcW w:w="5811" w:type="dxa"/>
            <w:vAlign w:val="center"/>
          </w:tcPr>
          <w:p w14:paraId="244104A7" w14:textId="77777777" w:rsidR="00E15459" w:rsidRPr="003F43E3" w:rsidRDefault="00E15459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Membres du GAC</w:t>
            </w:r>
          </w:p>
        </w:tc>
      </w:tr>
      <w:tr w:rsidR="00E15459" w:rsidRPr="003F43E3" w14:paraId="5BBD5348" w14:textId="77777777" w:rsidTr="00D27E64">
        <w:tc>
          <w:tcPr>
            <w:tcW w:w="3261" w:type="dxa"/>
            <w:vAlign w:val="center"/>
          </w:tcPr>
          <w:p w14:paraId="06A7B8FE" w14:textId="77777777" w:rsidR="00E15459" w:rsidRPr="003F43E3" w:rsidRDefault="00E15459" w:rsidP="00D27E64">
            <w:pPr>
              <w:ind w:right="-132"/>
              <w:rPr>
                <w:rFonts w:ascii="Century Gothic" w:eastAsiaTheme="minorEastAsia" w:hAnsi="Century Gothic" w:cstheme="minorBid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de distribution</w:t>
            </w:r>
          </w:p>
        </w:tc>
        <w:tc>
          <w:tcPr>
            <w:tcW w:w="5811" w:type="dxa"/>
            <w:vAlign w:val="center"/>
          </w:tcPr>
          <w:p w14:paraId="6B70A6D6" w14:textId="1514E5B9" w:rsidR="00E15459" w:rsidRPr="003F43E3" w:rsidRDefault="007447A3" w:rsidP="00D27E64">
            <w:pPr>
              <w:ind w:right="545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 juin 2018</w:t>
            </w:r>
          </w:p>
        </w:tc>
      </w:tr>
      <w:bookmarkEnd w:id="1"/>
    </w:tbl>
    <w:p w14:paraId="33DD9A1F" w14:textId="0FB73C68" w:rsidR="005B7B51" w:rsidRDefault="005B7B51" w:rsidP="00E15459">
      <w:pPr>
        <w:pStyle w:val="BodyText"/>
        <w:ind w:right="545"/>
      </w:pPr>
    </w:p>
    <w:sectPr w:rsidR="005B7B51" w:rsidSect="007A174E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999E9" w14:textId="77777777" w:rsidR="004C5D8F" w:rsidRDefault="004C5D8F" w:rsidP="00A24449">
      <w:r>
        <w:separator/>
      </w:r>
    </w:p>
  </w:endnote>
  <w:endnote w:type="continuationSeparator" w:id="0">
    <w:p w14:paraId="0267D2A7" w14:textId="77777777" w:rsidR="004C5D8F" w:rsidRDefault="004C5D8F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BFA9" w14:textId="77777777" w:rsidR="00776376" w:rsidRDefault="00776376" w:rsidP="002276FD">
    <w:pPr>
      <w:pStyle w:val="Footer"/>
      <w:ind w:left="-567" w:right="261"/>
    </w:pPr>
  </w:p>
  <w:p w14:paraId="1F6A8333" w14:textId="1ADE58B7" w:rsidR="00776376" w:rsidRPr="00B026C8" w:rsidRDefault="00776376" w:rsidP="00E15459">
    <w:pPr>
      <w:pBdr>
        <w:top w:val="single" w:sz="18" w:space="1" w:color="1F497D"/>
      </w:pBdr>
      <w:spacing w:before="240"/>
      <w:ind w:right="545"/>
      <w:rPr>
        <w:rFonts w:ascii="Century Gothic" w:hAnsi="Century Gothic"/>
        <w:color w:val="00408E"/>
      </w:rPr>
    </w:pPr>
    <w:r>
      <w:rPr>
        <w:rFonts w:ascii="Century Gothic" w:hAnsi="Century Gothic"/>
        <w:color w:val="00408E"/>
        <w:sz w:val="16"/>
        <w:szCs w:val="16"/>
      </w:rPr>
      <w:t xml:space="preserve">       </w:t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  <w:t xml:space="preserve">      </w:t>
    </w:r>
    <w:r>
      <w:rPr>
        <w:rFonts w:ascii="Century Gothic" w:hAnsi="Century Gothic"/>
        <w:color w:val="00408E"/>
        <w:sz w:val="16"/>
        <w:szCs w:val="16"/>
      </w:rPr>
      <w:tab/>
      <w:t xml:space="preserve">                </w:t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</w:r>
    <w:r>
      <w:rPr>
        <w:rFonts w:ascii="Century Gothic" w:hAnsi="Century Gothic"/>
        <w:color w:val="00408E"/>
        <w:sz w:val="16"/>
        <w:szCs w:val="16"/>
      </w:rPr>
      <w:tab/>
      <w:t xml:space="preserve"> Page </w:t>
    </w:r>
    <w:r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Pr="00B026C8">
      <w:rPr>
        <w:rFonts w:ascii="Century Gothic" w:hAnsi="Century Gothic"/>
        <w:color w:val="00408E"/>
        <w:sz w:val="16"/>
        <w:szCs w:val="16"/>
      </w:rPr>
      <w:instrText xml:space="preserve"> PAGE </w:instrText>
    </w:r>
    <w:r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4E28DA">
      <w:rPr>
        <w:rFonts w:ascii="Century Gothic" w:hAnsi="Century Gothic"/>
        <w:color w:val="00408E"/>
        <w:sz w:val="16"/>
        <w:szCs w:val="16"/>
      </w:rPr>
      <w:t>1</w:t>
    </w:r>
    <w:r w:rsidRPr="00B026C8">
      <w:rPr>
        <w:rFonts w:ascii="Century Gothic" w:hAnsi="Century Gothic"/>
        <w:color w:val="00408E"/>
        <w:sz w:val="16"/>
        <w:szCs w:val="16"/>
      </w:rPr>
      <w:fldChar w:fldCharType="end"/>
    </w:r>
    <w:r>
      <w:rPr>
        <w:rFonts w:ascii="Century Gothic" w:hAnsi="Century Gothic"/>
        <w:color w:val="00408E"/>
        <w:sz w:val="16"/>
        <w:szCs w:val="16"/>
      </w:rPr>
      <w:t xml:space="preserve"> sur </w:t>
    </w:r>
    <w:r w:rsidRPr="00B026C8">
      <w:rPr>
        <w:rFonts w:ascii="Century Gothic" w:hAnsi="Century Gothic"/>
        <w:color w:val="00408E"/>
        <w:sz w:val="16"/>
        <w:szCs w:val="16"/>
      </w:rPr>
      <w:fldChar w:fldCharType="begin"/>
    </w:r>
    <w:r w:rsidRPr="00B026C8">
      <w:rPr>
        <w:rFonts w:ascii="Century Gothic" w:hAnsi="Century Gothic"/>
        <w:color w:val="00408E"/>
        <w:sz w:val="16"/>
        <w:szCs w:val="16"/>
      </w:rPr>
      <w:instrText xml:space="preserve"> NUMPAGES  </w:instrText>
    </w:r>
    <w:r w:rsidRPr="00B026C8">
      <w:rPr>
        <w:rFonts w:ascii="Century Gothic" w:hAnsi="Century Gothic"/>
        <w:color w:val="00408E"/>
        <w:sz w:val="16"/>
        <w:szCs w:val="16"/>
      </w:rPr>
      <w:fldChar w:fldCharType="separate"/>
    </w:r>
    <w:r w:rsidR="004E28DA">
      <w:rPr>
        <w:rFonts w:ascii="Century Gothic" w:hAnsi="Century Gothic"/>
        <w:color w:val="00408E"/>
        <w:sz w:val="16"/>
        <w:szCs w:val="16"/>
      </w:rPr>
      <w:t>1</w:t>
    </w:r>
    <w:r w:rsidRPr="00B026C8">
      <w:rPr>
        <w:rFonts w:ascii="Century Gothic" w:hAnsi="Century Gothic"/>
        <w:color w:val="00408E"/>
        <w:sz w:val="16"/>
        <w:szCs w:val="16"/>
      </w:rPr>
      <w:fldChar w:fldCharType="end"/>
    </w:r>
  </w:p>
  <w:p w14:paraId="5437F5F8" w14:textId="77777777" w:rsidR="00776376" w:rsidRPr="000C0FD7" w:rsidRDefault="00776376" w:rsidP="003D7A8D">
    <w:pPr>
      <w:pStyle w:val="Footer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29D5" w14:textId="77777777" w:rsidR="00776376" w:rsidRPr="00C2562C" w:rsidRDefault="00776376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6CEFBB86" w14:textId="77777777" w:rsidR="00776376" w:rsidRPr="00EC0D71" w:rsidRDefault="00776376" w:rsidP="00740F60">
    <w:pPr>
      <w:pStyle w:val="NoSpacing"/>
      <w:ind w:right="544"/>
      <w:jc w:val="right"/>
      <w:rPr>
        <w:sz w:val="16"/>
        <w:szCs w:val="16"/>
        <w:lang w:val="en-US"/>
      </w:rPr>
    </w:pPr>
    <w:r w:rsidRPr="00EC0D71">
      <w:rPr>
        <w:sz w:val="16"/>
        <w:szCs w:val="16"/>
        <w:lang w:val="en-US"/>
      </w:rPr>
      <w:t xml:space="preserve">203 Drummond Street, Carlton VIC 3053 </w:t>
    </w:r>
  </w:p>
  <w:p w14:paraId="43F9FA24" w14:textId="77777777" w:rsidR="00776376" w:rsidRPr="00EC0D71" w:rsidRDefault="00776376" w:rsidP="00740F60">
    <w:pPr>
      <w:pStyle w:val="NoSpacing"/>
      <w:ind w:right="544"/>
      <w:jc w:val="right"/>
      <w:rPr>
        <w:sz w:val="16"/>
        <w:szCs w:val="16"/>
        <w:lang w:val="en-US"/>
      </w:rPr>
    </w:pPr>
    <w:r w:rsidRPr="00EC0D71">
      <w:rPr>
        <w:sz w:val="16"/>
        <w:szCs w:val="16"/>
        <w:lang w:val="en-US"/>
      </w:rPr>
      <w:t>03 9650 7222</w:t>
    </w:r>
  </w:p>
  <w:p w14:paraId="67FE17A9" w14:textId="77777777" w:rsidR="00776376" w:rsidRPr="00EC0D71" w:rsidRDefault="00776376" w:rsidP="00740F60">
    <w:pPr>
      <w:pStyle w:val="NoSpacing"/>
      <w:ind w:right="544"/>
      <w:jc w:val="right"/>
      <w:rPr>
        <w:sz w:val="16"/>
        <w:szCs w:val="16"/>
        <w:lang w:val="en-US"/>
      </w:rPr>
    </w:pPr>
    <w:r w:rsidRPr="00EC0D71">
      <w:rPr>
        <w:sz w:val="16"/>
        <w:szCs w:val="16"/>
        <w:lang w:val="en-US"/>
      </w:rPr>
      <w:t xml:space="preserve">www.acig.com.au </w:t>
    </w:r>
  </w:p>
  <w:p w14:paraId="19DE8D68" w14:textId="77777777" w:rsidR="00776376" w:rsidRPr="00EC0D71" w:rsidRDefault="00776376" w:rsidP="003D7A8D">
    <w:pPr>
      <w:pStyle w:val="Footer"/>
      <w:jc w:val="center"/>
      <w:rPr>
        <w:color w:val="00408E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D5745" w14:textId="77777777" w:rsidR="004C5D8F" w:rsidRDefault="004C5D8F" w:rsidP="00A24449">
      <w:r>
        <w:separator/>
      </w:r>
    </w:p>
  </w:footnote>
  <w:footnote w:type="continuationSeparator" w:id="0">
    <w:p w14:paraId="59FF51CB" w14:textId="77777777" w:rsidR="004C5D8F" w:rsidRDefault="004C5D8F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CD3B" w14:textId="0E387282" w:rsidR="00776376" w:rsidRDefault="00EC0D71" w:rsidP="002276FD">
    <w:pPr>
      <w:pStyle w:val="Header"/>
      <w:tabs>
        <w:tab w:val="clear" w:pos="4680"/>
        <w:tab w:val="clear" w:pos="9360"/>
      </w:tabs>
      <w:ind w:left="7920" w:right="-306" w:firstLine="44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70CF8" wp14:editId="784992D7">
              <wp:simplePos x="0" y="0"/>
              <wp:positionH relativeFrom="column">
                <wp:posOffset>4295775</wp:posOffset>
              </wp:positionH>
              <wp:positionV relativeFrom="paragraph">
                <wp:posOffset>224473</wp:posOffset>
              </wp:positionV>
              <wp:extent cx="1583373" cy="297815"/>
              <wp:effectExtent l="0" t="0" r="0" b="698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373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2D9AF" w14:textId="77777777" w:rsidR="00776376" w:rsidRPr="00A12C22" w:rsidRDefault="00776376" w:rsidP="00CD30A8">
                          <w:pPr>
                            <w:ind w:left="-142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  <w:t>Secrétariat du GAC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70C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8.25pt;margin-top:17.7pt;width:124.7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" stroked="f">
              <v:textbox>
                <w:txbxContent>
                  <w:p w14:paraId="46E2D9AF" w14:textId="77777777" w:rsidR="00776376" w:rsidRPr="00A12C22" w:rsidRDefault="00776376" w:rsidP="00CD30A8">
                    <w:pPr>
                      <w:ind w:left="-142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  <w:t>Secrétariat du GAC</w:t>
                    </w:r>
                  </w:p>
                </w:txbxContent>
              </v:textbox>
            </v:shape>
          </w:pict>
        </mc:Fallback>
      </mc:AlternateContent>
    </w:r>
    <w:r w:rsidR="00776376">
      <w:rPr>
        <w:noProof/>
      </w:rPr>
      <w:drawing>
        <wp:inline distT="0" distB="0" distL="0" distR="0" wp14:anchorId="2EFA62C4" wp14:editId="17EC978B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637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697E" w14:textId="77777777" w:rsidR="00776376" w:rsidRDefault="00776376" w:rsidP="00C2562C">
    <w:pPr>
      <w:pStyle w:val="Header"/>
      <w:tabs>
        <w:tab w:val="clear" w:pos="9360"/>
      </w:tabs>
      <w:ind w:left="-851"/>
      <w:jc w:val="center"/>
    </w:pPr>
    <w:r>
      <w:rPr>
        <w:noProof/>
      </w:rPr>
      <w:drawing>
        <wp:inline distT="0" distB="0" distL="0" distR="0" wp14:anchorId="1DC1CA3A" wp14:editId="2E77D994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C6B0A"/>
    <w:multiLevelType w:val="hybridMultilevel"/>
    <w:tmpl w:val="359AD0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E708B"/>
    <w:multiLevelType w:val="multilevel"/>
    <w:tmpl w:val="B63A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692396"/>
    <w:multiLevelType w:val="multilevel"/>
    <w:tmpl w:val="F056D206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20"/>
        </w:tabs>
        <w:ind w:left="120" w:hanging="360"/>
      </w:pPr>
    </w:lvl>
    <w:lvl w:ilvl="2" w:tentative="1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</w:lvl>
    <w:lvl w:ilvl="3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entative="1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entative="1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entative="1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 w:tentative="1">
      <w:start w:val="1"/>
      <w:numFmt w:val="decimal"/>
      <w:lvlText w:val="%9."/>
      <w:lvlJc w:val="left"/>
      <w:pPr>
        <w:tabs>
          <w:tab w:val="num" w:pos="5160"/>
        </w:tabs>
        <w:ind w:left="5160" w:hanging="360"/>
      </w:pPr>
    </w:lvl>
  </w:abstractNum>
  <w:abstractNum w:abstractNumId="13" w15:restartNumberingAfterBreak="0">
    <w:nsid w:val="0A700F5E"/>
    <w:multiLevelType w:val="hybridMultilevel"/>
    <w:tmpl w:val="72A6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A4803"/>
    <w:multiLevelType w:val="hybridMultilevel"/>
    <w:tmpl w:val="CD5613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572868"/>
    <w:multiLevelType w:val="hybridMultilevel"/>
    <w:tmpl w:val="AA4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944F8"/>
    <w:multiLevelType w:val="hybridMultilevel"/>
    <w:tmpl w:val="75A4B69A"/>
    <w:lvl w:ilvl="0" w:tplc="2A78A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110C2"/>
    <w:multiLevelType w:val="hybridMultilevel"/>
    <w:tmpl w:val="0FF220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523C5"/>
    <w:multiLevelType w:val="hybridMultilevel"/>
    <w:tmpl w:val="039E1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45BD"/>
    <w:multiLevelType w:val="hybridMultilevel"/>
    <w:tmpl w:val="3446D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94643"/>
    <w:multiLevelType w:val="hybridMultilevel"/>
    <w:tmpl w:val="56CE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271BD"/>
    <w:multiLevelType w:val="hybridMultilevel"/>
    <w:tmpl w:val="5B6467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83D1D"/>
    <w:multiLevelType w:val="hybridMultilevel"/>
    <w:tmpl w:val="6E60C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B3203"/>
    <w:multiLevelType w:val="hybridMultilevel"/>
    <w:tmpl w:val="9EF6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F5318"/>
    <w:multiLevelType w:val="hybridMultilevel"/>
    <w:tmpl w:val="A88A34A0"/>
    <w:lvl w:ilvl="0" w:tplc="66068FF0">
      <w:start w:val="1"/>
      <w:numFmt w:val="bullet"/>
      <w:pStyle w:val="ListBullet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7" w15:restartNumberingAfterBreak="0">
    <w:nsid w:val="629C3AB7"/>
    <w:multiLevelType w:val="hybridMultilevel"/>
    <w:tmpl w:val="6AB64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DD5D1E"/>
    <w:multiLevelType w:val="hybridMultilevel"/>
    <w:tmpl w:val="29A86D82"/>
    <w:lvl w:ilvl="0" w:tplc="BA3408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52E84"/>
    <w:multiLevelType w:val="hybridMultilevel"/>
    <w:tmpl w:val="BE56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6"/>
  </w:num>
  <w:num w:numId="13">
    <w:abstractNumId w:val="25"/>
  </w:num>
  <w:num w:numId="14">
    <w:abstractNumId w:val="13"/>
  </w:num>
  <w:num w:numId="15">
    <w:abstractNumId w:val="19"/>
  </w:num>
  <w:num w:numId="16">
    <w:abstractNumId w:val="20"/>
  </w:num>
  <w:num w:numId="17">
    <w:abstractNumId w:val="10"/>
  </w:num>
  <w:num w:numId="18">
    <w:abstractNumId w:val="18"/>
  </w:num>
  <w:num w:numId="19">
    <w:abstractNumId w:val="23"/>
  </w:num>
  <w:num w:numId="20">
    <w:abstractNumId w:val="29"/>
  </w:num>
  <w:num w:numId="21">
    <w:abstractNumId w:val="24"/>
  </w:num>
  <w:num w:numId="22">
    <w:abstractNumId w:val="21"/>
  </w:num>
  <w:num w:numId="23">
    <w:abstractNumId w:val="12"/>
  </w:num>
  <w:num w:numId="24">
    <w:abstractNumId w:val="27"/>
  </w:num>
  <w:num w:numId="25">
    <w:abstractNumId w:val="17"/>
  </w:num>
  <w:num w:numId="26">
    <w:abstractNumId w:val="28"/>
  </w:num>
  <w:num w:numId="27">
    <w:abstractNumId w:val="22"/>
  </w:num>
  <w:num w:numId="28">
    <w:abstractNumId w:val="16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0C"/>
    <w:rsid w:val="00017DDB"/>
    <w:rsid w:val="00023512"/>
    <w:rsid w:val="0002714F"/>
    <w:rsid w:val="000328A2"/>
    <w:rsid w:val="00036D48"/>
    <w:rsid w:val="00061B16"/>
    <w:rsid w:val="00083BC8"/>
    <w:rsid w:val="00085123"/>
    <w:rsid w:val="000964B7"/>
    <w:rsid w:val="000966BB"/>
    <w:rsid w:val="000B4BF2"/>
    <w:rsid w:val="000C0FD7"/>
    <w:rsid w:val="000C5167"/>
    <w:rsid w:val="000C6B2E"/>
    <w:rsid w:val="0012744C"/>
    <w:rsid w:val="00130A75"/>
    <w:rsid w:val="00137BBE"/>
    <w:rsid w:val="001577F4"/>
    <w:rsid w:val="0016195D"/>
    <w:rsid w:val="001837CB"/>
    <w:rsid w:val="00192306"/>
    <w:rsid w:val="001B337F"/>
    <w:rsid w:val="0020769E"/>
    <w:rsid w:val="002110FA"/>
    <w:rsid w:val="002276FD"/>
    <w:rsid w:val="00227726"/>
    <w:rsid w:val="00241C6F"/>
    <w:rsid w:val="00250279"/>
    <w:rsid w:val="0025104A"/>
    <w:rsid w:val="00262ACB"/>
    <w:rsid w:val="00273354"/>
    <w:rsid w:val="002A3393"/>
    <w:rsid w:val="002B77F7"/>
    <w:rsid w:val="002F7386"/>
    <w:rsid w:val="00302AA4"/>
    <w:rsid w:val="00327A1A"/>
    <w:rsid w:val="003308BB"/>
    <w:rsid w:val="003401B4"/>
    <w:rsid w:val="003501C8"/>
    <w:rsid w:val="003643C4"/>
    <w:rsid w:val="003644DC"/>
    <w:rsid w:val="00364F2E"/>
    <w:rsid w:val="003961C1"/>
    <w:rsid w:val="003A1AB7"/>
    <w:rsid w:val="003D7A8D"/>
    <w:rsid w:val="00400344"/>
    <w:rsid w:val="00406CEE"/>
    <w:rsid w:val="00412A64"/>
    <w:rsid w:val="00416093"/>
    <w:rsid w:val="004256A5"/>
    <w:rsid w:val="00454CBD"/>
    <w:rsid w:val="0046328D"/>
    <w:rsid w:val="00482610"/>
    <w:rsid w:val="004837E2"/>
    <w:rsid w:val="00492E56"/>
    <w:rsid w:val="00495CB5"/>
    <w:rsid w:val="004A58B8"/>
    <w:rsid w:val="004C5D8F"/>
    <w:rsid w:val="004D747F"/>
    <w:rsid w:val="004E22C7"/>
    <w:rsid w:val="004E2498"/>
    <w:rsid w:val="004E28DA"/>
    <w:rsid w:val="0051347B"/>
    <w:rsid w:val="00546686"/>
    <w:rsid w:val="00577F86"/>
    <w:rsid w:val="00580A87"/>
    <w:rsid w:val="00583EE4"/>
    <w:rsid w:val="005B7B51"/>
    <w:rsid w:val="005E2917"/>
    <w:rsid w:val="006075B6"/>
    <w:rsid w:val="00624AEC"/>
    <w:rsid w:val="00652018"/>
    <w:rsid w:val="0066439B"/>
    <w:rsid w:val="00672691"/>
    <w:rsid w:val="006735F6"/>
    <w:rsid w:val="0067792E"/>
    <w:rsid w:val="00683C6C"/>
    <w:rsid w:val="006B4355"/>
    <w:rsid w:val="00700CF9"/>
    <w:rsid w:val="00722431"/>
    <w:rsid w:val="0072423D"/>
    <w:rsid w:val="00731C3E"/>
    <w:rsid w:val="00740F60"/>
    <w:rsid w:val="007447A3"/>
    <w:rsid w:val="00746454"/>
    <w:rsid w:val="007670C2"/>
    <w:rsid w:val="00776376"/>
    <w:rsid w:val="007A174E"/>
    <w:rsid w:val="007D32B7"/>
    <w:rsid w:val="007E013D"/>
    <w:rsid w:val="007F5CD3"/>
    <w:rsid w:val="0080662D"/>
    <w:rsid w:val="00815A76"/>
    <w:rsid w:val="00817EAC"/>
    <w:rsid w:val="008246F4"/>
    <w:rsid w:val="00846BA1"/>
    <w:rsid w:val="00854588"/>
    <w:rsid w:val="008822A3"/>
    <w:rsid w:val="00882354"/>
    <w:rsid w:val="00896848"/>
    <w:rsid w:val="008B2849"/>
    <w:rsid w:val="008C4F95"/>
    <w:rsid w:val="009123B6"/>
    <w:rsid w:val="00921AAD"/>
    <w:rsid w:val="00921B8C"/>
    <w:rsid w:val="00962727"/>
    <w:rsid w:val="00974BD6"/>
    <w:rsid w:val="0099631A"/>
    <w:rsid w:val="009A63F4"/>
    <w:rsid w:val="009C77A8"/>
    <w:rsid w:val="00A04A96"/>
    <w:rsid w:val="00A07882"/>
    <w:rsid w:val="00A12C22"/>
    <w:rsid w:val="00A24449"/>
    <w:rsid w:val="00A25553"/>
    <w:rsid w:val="00A264DC"/>
    <w:rsid w:val="00A40DB0"/>
    <w:rsid w:val="00A55D0C"/>
    <w:rsid w:val="00A660EB"/>
    <w:rsid w:val="00A742DD"/>
    <w:rsid w:val="00A779C6"/>
    <w:rsid w:val="00A86B36"/>
    <w:rsid w:val="00AA0126"/>
    <w:rsid w:val="00AB2562"/>
    <w:rsid w:val="00AB26F7"/>
    <w:rsid w:val="00AC5490"/>
    <w:rsid w:val="00AC54BB"/>
    <w:rsid w:val="00AD1076"/>
    <w:rsid w:val="00AE6E3D"/>
    <w:rsid w:val="00AE6FD5"/>
    <w:rsid w:val="00B026C8"/>
    <w:rsid w:val="00B21330"/>
    <w:rsid w:val="00B22FE8"/>
    <w:rsid w:val="00B5489D"/>
    <w:rsid w:val="00B7292B"/>
    <w:rsid w:val="00B72D49"/>
    <w:rsid w:val="00BA0533"/>
    <w:rsid w:val="00BE3286"/>
    <w:rsid w:val="00BE60A1"/>
    <w:rsid w:val="00BF4CFB"/>
    <w:rsid w:val="00C020C1"/>
    <w:rsid w:val="00C114D4"/>
    <w:rsid w:val="00C144AE"/>
    <w:rsid w:val="00C21952"/>
    <w:rsid w:val="00C2562C"/>
    <w:rsid w:val="00C26F6D"/>
    <w:rsid w:val="00C3454E"/>
    <w:rsid w:val="00C50C2C"/>
    <w:rsid w:val="00C74517"/>
    <w:rsid w:val="00C9701E"/>
    <w:rsid w:val="00CC79EF"/>
    <w:rsid w:val="00CD30A8"/>
    <w:rsid w:val="00CD57F8"/>
    <w:rsid w:val="00CF0606"/>
    <w:rsid w:val="00CF4236"/>
    <w:rsid w:val="00CF4E9A"/>
    <w:rsid w:val="00D01CBD"/>
    <w:rsid w:val="00D049CB"/>
    <w:rsid w:val="00D07C27"/>
    <w:rsid w:val="00D17FF3"/>
    <w:rsid w:val="00D35147"/>
    <w:rsid w:val="00D41280"/>
    <w:rsid w:val="00D5733E"/>
    <w:rsid w:val="00D57B30"/>
    <w:rsid w:val="00D86EA8"/>
    <w:rsid w:val="00D9442D"/>
    <w:rsid w:val="00DA436F"/>
    <w:rsid w:val="00DA46B6"/>
    <w:rsid w:val="00DB2F1E"/>
    <w:rsid w:val="00DD2C34"/>
    <w:rsid w:val="00DE1B66"/>
    <w:rsid w:val="00DE621B"/>
    <w:rsid w:val="00DF0C5D"/>
    <w:rsid w:val="00DF27CF"/>
    <w:rsid w:val="00DF46AA"/>
    <w:rsid w:val="00DF5B00"/>
    <w:rsid w:val="00E016F8"/>
    <w:rsid w:val="00E15459"/>
    <w:rsid w:val="00E236BC"/>
    <w:rsid w:val="00E248DA"/>
    <w:rsid w:val="00E3060B"/>
    <w:rsid w:val="00E42E83"/>
    <w:rsid w:val="00E42F1B"/>
    <w:rsid w:val="00E57BDD"/>
    <w:rsid w:val="00E7196B"/>
    <w:rsid w:val="00E82F0C"/>
    <w:rsid w:val="00E9134A"/>
    <w:rsid w:val="00E954EC"/>
    <w:rsid w:val="00EA3A02"/>
    <w:rsid w:val="00EC0D71"/>
    <w:rsid w:val="00EC3C37"/>
    <w:rsid w:val="00EE2665"/>
    <w:rsid w:val="00EF36F3"/>
    <w:rsid w:val="00F2065E"/>
    <w:rsid w:val="00F21D6A"/>
    <w:rsid w:val="00F42A85"/>
    <w:rsid w:val="00F4462E"/>
    <w:rsid w:val="00F46F4F"/>
    <w:rsid w:val="00F96D2C"/>
    <w:rsid w:val="00F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ABF6DA"/>
  <w15:docId w15:val="{AA5FD52E-6677-4A99-BD22-E4DEE431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lang w:val="fr-FR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6CEE"/>
    <w:rPr>
      <w:rFonts w:ascii="Calibri" w:eastAsia="Times New Roman" w:hAnsi="Calibri"/>
      <w:sz w:val="24"/>
      <w:szCs w:val="24"/>
      <w:lang w:eastAsia="en-US"/>
    </w:rPr>
  </w:style>
  <w:style w:type="paragraph" w:styleId="Heading1">
    <w:name w:val="heading 1"/>
    <w:next w:val="BodyText"/>
    <w:link w:val="Heading1Ch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  <w:lang w:eastAsia="en-US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E15459"/>
    <w:pPr>
      <w:keepNext/>
      <w:keepLines/>
      <w:ind w:right="545"/>
      <w:outlineLvl w:val="1"/>
    </w:pPr>
    <w:rPr>
      <w:b/>
      <w:color w:val="1F4E79" w:themeColor="accent1" w:themeShade="80"/>
      <w:sz w:val="24"/>
      <w:szCs w:val="24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5459"/>
    <w:rPr>
      <w:b/>
      <w:color w:val="1F4E79" w:themeColor="accent1" w:themeShade="80"/>
      <w:sz w:val="24"/>
      <w:szCs w:val="24"/>
      <w:lang w:eastAsia="en-US"/>
    </w:rPr>
  </w:style>
  <w:style w:type="paragraph" w:styleId="TO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hAnsi="Century Gothic"/>
      <w:b/>
      <w:bCs/>
      <w:sz w:val="28"/>
    </w:rPr>
  </w:style>
  <w:style w:type="paragraph" w:styleId="Header">
    <w:name w:val="header"/>
    <w:basedOn w:val="BodyText"/>
    <w:link w:val="HeaderCh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76"/>
    <w:rPr>
      <w:rFonts w:ascii="Century Gothic" w:hAnsi="Century Gothic"/>
      <w:szCs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eastAsia="Calibri" w:hAnsi="Century Gothic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4449"/>
    <w:rPr>
      <w:rFonts w:ascii="Century Gothic" w:hAnsi="Century Gothic"/>
      <w:szCs w:val="22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CF4E9A"/>
    <w:rPr>
      <w:b/>
      <w:color w:val="00408E"/>
      <w:sz w:val="28"/>
      <w:szCs w:val="28"/>
      <w:lang w:val="fr-FR" w:eastAsia="en-US" w:bidi="ar-SA"/>
    </w:rPr>
  </w:style>
  <w:style w:type="paragraph" w:styleId="Title">
    <w:name w:val="Title"/>
    <w:basedOn w:val="BodyText"/>
    <w:next w:val="BodyText"/>
    <w:link w:val="TitleCh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BodyText">
    <w:name w:val="Body Text"/>
    <w:link w:val="BodyTextChar"/>
    <w:uiPriority w:val="99"/>
    <w:unhideWhenUsed/>
    <w:qFormat/>
    <w:rsid w:val="004E22C7"/>
    <w:pPr>
      <w:spacing w:after="200" w:line="276" w:lineRule="auto"/>
      <w:jc w:val="both"/>
    </w:pPr>
    <w:rPr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E22C7"/>
    <w:rPr>
      <w:szCs w:val="22"/>
      <w:lang w:val="fr-FR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fr-FR"/>
    </w:rPr>
  </w:style>
  <w:style w:type="character" w:styleId="Hyperlink">
    <w:name w:val="Hyperlink"/>
    <w:basedOn w:val="DefaultParagraphFont"/>
    <w:uiPriority w:val="99"/>
    <w:unhideWhenUsed/>
    <w:rsid w:val="007242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4E9A"/>
    <w:rPr>
      <w:b/>
      <w:color w:val="00408E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4E22C7"/>
    <w:rPr>
      <w:color w:val="00408E"/>
      <w:szCs w:val="22"/>
      <w:lang w:val="fr-FR"/>
    </w:rPr>
  </w:style>
  <w:style w:type="paragraph" w:styleId="ListBullet">
    <w:name w:val="List Bullet"/>
    <w:basedOn w:val="ListBullet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Continue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Bullet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eastAsia="Calibri" w:hAnsi="Century Gothic"/>
      <w:sz w:val="20"/>
      <w:szCs w:val="22"/>
    </w:rPr>
  </w:style>
  <w:style w:type="paragraph" w:styleId="ListParagraph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eastAsia="Calibri" w:hAnsi="Century Gothic"/>
      <w:sz w:val="20"/>
      <w:szCs w:val="22"/>
    </w:rPr>
  </w:style>
  <w:style w:type="paragraph" w:styleId="TOAHeading">
    <w:name w:val="toa heading"/>
    <w:basedOn w:val="Heading1"/>
    <w:next w:val="Normal"/>
    <w:uiPriority w:val="99"/>
    <w:unhideWhenUsed/>
    <w:rsid w:val="000C5167"/>
    <w:pPr>
      <w:spacing w:after="400"/>
    </w:pPr>
  </w:style>
  <w:style w:type="table" w:styleId="TableGrid">
    <w:name w:val="Table Grid"/>
    <w:basedOn w:val="Table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hAnsi="Century Gothic"/>
      <w:sz w:val="18"/>
    </w:rPr>
  </w:style>
  <w:style w:type="paragraph" w:styleId="NoSpacing">
    <w:name w:val="No Spacing"/>
    <w:uiPriority w:val="1"/>
    <w:qFormat/>
    <w:rsid w:val="00C2562C"/>
    <w:pPr>
      <w:jc w:val="both"/>
    </w:pPr>
    <w:rPr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06CEE"/>
  </w:style>
  <w:style w:type="character" w:customStyle="1" w:styleId="FootnoteTextChar">
    <w:name w:val="Footnote Text Char"/>
    <w:basedOn w:val="DefaultParagraphFont"/>
    <w:link w:val="FootnoteText"/>
    <w:uiPriority w:val="99"/>
    <w:rsid w:val="00406CEE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06C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EE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302AA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4645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nso.icann.org/" TargetMode="External"/><Relationship Id="rId13" Type="http://schemas.openxmlformats.org/officeDocument/2006/relationships/hyperlink" Target="https://www.iso.org/iso-3166-country-code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cnso.icann.org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cnso.icann.org/workinggroups/techwg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cnso.icann.org/workinggroups/sopiwg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cnso.icann.org/about/council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BBE9-F5A2-409D-A777-10C850B2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5074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lastModifiedBy>LS Pros</cp:lastModifiedBy>
  <cp:revision>5</cp:revision>
  <cp:lastPrinted>2013-11-27T05:14:00Z</cp:lastPrinted>
  <dcterms:created xsi:type="dcterms:W3CDTF">2018-06-04T00:46:00Z</dcterms:created>
  <dcterms:modified xsi:type="dcterms:W3CDTF">2018-06-19T15:59:00Z</dcterms:modified>
</cp:coreProperties>
</file>